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6A9CC">
      <w:pPr>
        <w:jc w:val="center"/>
        <w:rPr>
          <w:rFonts w:hint="eastAsia"/>
        </w:rPr>
      </w:pPr>
      <w:r>
        <w:rPr>
          <w:rFonts w:hint="eastAsia" w:ascii="华文中宋" w:hAnsi="华文中宋" w:eastAsia="华文中宋"/>
          <w:sz w:val="36"/>
          <w:szCs w:val="36"/>
        </w:rPr>
        <w:t>江苏食品药品职业技术学院</w:t>
      </w:r>
      <w:r>
        <w:rPr>
          <w:rFonts w:ascii="华文中宋" w:hAnsi="华文中宋" w:eastAsia="华文中宋"/>
          <w:sz w:val="36"/>
          <w:szCs w:val="36"/>
        </w:rPr>
        <w:t>S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6桃</w:t>
      </w:r>
      <w:r>
        <w:rPr>
          <w:rFonts w:ascii="华文中宋" w:hAnsi="华文中宋" w:eastAsia="华文中宋"/>
          <w:sz w:val="36"/>
          <w:szCs w:val="36"/>
        </w:rPr>
        <w:t>园学生活动室改造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广告制作</w:t>
      </w:r>
      <w:r>
        <w:rPr>
          <w:rFonts w:ascii="华文中宋" w:hAnsi="华文中宋" w:eastAsia="华文中宋"/>
          <w:sz w:val="36"/>
          <w:szCs w:val="36"/>
        </w:rPr>
        <w:t>项目询价公告</w:t>
      </w:r>
    </w:p>
    <w:p w14:paraId="4C331C57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764E055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项目概况：江苏食品药品职业技术学院S</w:t>
      </w:r>
      <w:r>
        <w:rPr>
          <w:rFonts w:hint="eastAsia"/>
          <w:sz w:val="28"/>
          <w:szCs w:val="28"/>
          <w:lang w:val="en-US" w:eastAsia="zh-CN"/>
        </w:rPr>
        <w:t>6桃</w:t>
      </w:r>
      <w:r>
        <w:rPr>
          <w:rFonts w:hint="eastAsia"/>
          <w:sz w:val="28"/>
          <w:szCs w:val="28"/>
        </w:rPr>
        <w:t>园学生活动室改造项目的潜在响应人应于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年7月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日下午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7点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0分</w:t>
      </w:r>
      <w:r>
        <w:rPr>
          <w:sz w:val="28"/>
          <w:szCs w:val="28"/>
        </w:rPr>
        <w:t>（北京时间）前递交响应文件。</w:t>
      </w:r>
    </w:p>
    <w:p w14:paraId="5295A9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 w14:paraId="2047B11E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1.1项目名称：</w:t>
      </w:r>
      <w:r>
        <w:rPr>
          <w:rFonts w:hint="eastAsia"/>
          <w:sz w:val="28"/>
          <w:szCs w:val="28"/>
        </w:rPr>
        <w:t>江苏食品药品职业技术学院S</w:t>
      </w:r>
      <w:r>
        <w:rPr>
          <w:rFonts w:hint="eastAsia"/>
          <w:sz w:val="28"/>
          <w:szCs w:val="28"/>
          <w:lang w:val="en-US" w:eastAsia="zh-CN"/>
        </w:rPr>
        <w:t>6桃</w:t>
      </w:r>
      <w:r>
        <w:rPr>
          <w:rFonts w:hint="eastAsia"/>
          <w:sz w:val="28"/>
          <w:szCs w:val="28"/>
        </w:rPr>
        <w:t>园学生活动室改造广告制作项目</w:t>
      </w:r>
    </w:p>
    <w:p w14:paraId="6D68C46D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1.2预算金额：人民币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350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</w:t>
      </w:r>
      <w:r>
        <w:rPr>
          <w:sz w:val="28"/>
          <w:szCs w:val="28"/>
        </w:rPr>
        <w:t>元</w:t>
      </w:r>
    </w:p>
    <w:p w14:paraId="24AFFDB1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1.3最高限价：人民币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350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</w:t>
      </w:r>
      <w:r>
        <w:rPr>
          <w:sz w:val="28"/>
          <w:szCs w:val="28"/>
        </w:rPr>
        <w:t>元</w:t>
      </w:r>
    </w:p>
    <w:p w14:paraId="2549539F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1.4采购需求：本项目位于</w:t>
      </w:r>
      <w:r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  <w:lang w:val="en-US" w:eastAsia="zh-CN"/>
        </w:rPr>
        <w:t>6桃</w:t>
      </w:r>
      <w:r>
        <w:rPr>
          <w:rFonts w:hint="eastAsia"/>
          <w:sz w:val="28"/>
          <w:szCs w:val="28"/>
        </w:rPr>
        <w:t>园学生活动室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现需根据学校要求制作从入门大厅到二楼活动室的指引标识及</w:t>
      </w:r>
      <w:r>
        <w:rPr>
          <w:rFonts w:hint="eastAsia"/>
          <w:sz w:val="28"/>
          <w:szCs w:val="28"/>
          <w:lang w:val="en-US" w:eastAsia="zh-CN"/>
        </w:rPr>
        <w:t>室内外</w:t>
      </w:r>
      <w:r>
        <w:rPr>
          <w:rFonts w:hint="eastAsia"/>
          <w:sz w:val="28"/>
          <w:szCs w:val="28"/>
        </w:rPr>
        <w:t>墙面改造。</w:t>
      </w:r>
    </w:p>
    <w:p w14:paraId="4A69410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项目改造清单：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004"/>
        <w:gridCol w:w="2450"/>
        <w:gridCol w:w="2122"/>
      </w:tblGrid>
      <w:tr w14:paraId="2AB1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46" w:type="dxa"/>
          </w:tcPr>
          <w:p w14:paraId="707D79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04" w:type="dxa"/>
          </w:tcPr>
          <w:p w14:paraId="79B8C2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450" w:type="dxa"/>
          </w:tcPr>
          <w:p w14:paraId="06E589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22" w:type="dxa"/>
          </w:tcPr>
          <w:p w14:paraId="54DA1A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1D19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F6B40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69D78E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大厅落地标识</w:t>
            </w:r>
          </w:p>
        </w:tc>
        <w:tc>
          <w:tcPr>
            <w:tcW w:w="2450" w:type="dxa"/>
          </w:tcPr>
          <w:p w14:paraId="1BC4830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top"/>
          </w:tcPr>
          <w:p w14:paraId="0D3CD9F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20AE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22442C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6333418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二楼大厅文化墙</w:t>
            </w:r>
          </w:p>
        </w:tc>
        <w:tc>
          <w:tcPr>
            <w:tcW w:w="2450" w:type="dxa"/>
          </w:tcPr>
          <w:p w14:paraId="53DA080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53CEBC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A2B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222C0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03A2B165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名言</w:t>
            </w:r>
            <w:r>
              <w:rPr>
                <w:rFonts w:hint="eastAsia"/>
                <w:sz w:val="24"/>
                <w:szCs w:val="24"/>
              </w:rPr>
              <w:t>谨句台阶贴</w:t>
            </w:r>
          </w:p>
        </w:tc>
        <w:tc>
          <w:tcPr>
            <w:tcW w:w="2450" w:type="dxa"/>
          </w:tcPr>
          <w:p w14:paraId="217C6E82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3FBB38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0B6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178933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14:paraId="66592AD0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二楼历史主题墙</w:t>
            </w:r>
          </w:p>
        </w:tc>
        <w:tc>
          <w:tcPr>
            <w:tcW w:w="2450" w:type="dxa"/>
          </w:tcPr>
          <w:p w14:paraId="7744429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412C15D0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B8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6DA2DD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4" w:type="dxa"/>
          </w:tcPr>
          <w:p w14:paraId="7A4B97E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二楼走道形象墙</w:t>
            </w:r>
          </w:p>
        </w:tc>
        <w:tc>
          <w:tcPr>
            <w:tcW w:w="2450" w:type="dxa"/>
          </w:tcPr>
          <w:p w14:paraId="26AF7457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6AAA242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3EA5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26B65A4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4" w:type="dxa"/>
          </w:tcPr>
          <w:p w14:paraId="2969A249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二楼健行</w:t>
            </w:r>
            <w:r>
              <w:rPr>
                <w:rFonts w:hint="eastAsia"/>
                <w:sz w:val="24"/>
                <w:szCs w:val="24"/>
              </w:rPr>
              <w:t>主题墙</w:t>
            </w:r>
          </w:p>
        </w:tc>
        <w:tc>
          <w:tcPr>
            <w:tcW w:w="2450" w:type="dxa"/>
          </w:tcPr>
          <w:p w14:paraId="14F9DFF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51E0DD2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3030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8E2EC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4" w:type="dxa"/>
          </w:tcPr>
          <w:p w14:paraId="3227002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室内书信字牌组合</w:t>
            </w:r>
          </w:p>
        </w:tc>
        <w:tc>
          <w:tcPr>
            <w:tcW w:w="2450" w:type="dxa"/>
          </w:tcPr>
          <w:p w14:paraId="5B2D89E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32B6467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7A2D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04A28BC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4" w:type="dxa"/>
          </w:tcPr>
          <w:p w14:paraId="54B0374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室内双层烤漆字等</w:t>
            </w:r>
          </w:p>
        </w:tc>
        <w:tc>
          <w:tcPr>
            <w:tcW w:w="2450" w:type="dxa"/>
          </w:tcPr>
          <w:p w14:paraId="637D15C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2F6705A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179A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4F0721F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4" w:type="dxa"/>
          </w:tcPr>
          <w:p w14:paraId="1D375FE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调整后整体效果图</w:t>
            </w:r>
          </w:p>
        </w:tc>
        <w:tc>
          <w:tcPr>
            <w:tcW w:w="2450" w:type="dxa"/>
          </w:tcPr>
          <w:p w14:paraId="5B4F9A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20FD6B5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0E8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3A972B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4" w:type="dxa"/>
          </w:tcPr>
          <w:p w14:paraId="5D5CE4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安装及运输费</w:t>
            </w:r>
          </w:p>
        </w:tc>
        <w:tc>
          <w:tcPr>
            <w:tcW w:w="2450" w:type="dxa"/>
          </w:tcPr>
          <w:p w14:paraId="698A9A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4D31DBEA"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 w14:paraId="114C698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改造安装实际所需耗费的工时和耗材等，可到现场核勘。</w:t>
      </w:r>
    </w:p>
    <w:p w14:paraId="0730C792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1.6本项目不接受联合体投标。</w:t>
      </w:r>
    </w:p>
    <w:p w14:paraId="0BB6A1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二、响应人的资格要求</w:t>
      </w:r>
    </w:p>
    <w:p w14:paraId="39940A55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2.1满足《中华人民共和国政府采购法》第二十二条规定</w:t>
      </w:r>
      <w:r>
        <w:rPr>
          <w:rFonts w:hint="eastAsia"/>
          <w:sz w:val="28"/>
          <w:szCs w:val="28"/>
        </w:rPr>
        <w:t>；</w:t>
      </w:r>
    </w:p>
    <w:p w14:paraId="5ABB3D57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2.2具有本次采购相关服务的独立完成能力，其营业执照须有</w:t>
      </w:r>
      <w:r>
        <w:rPr>
          <w:rFonts w:hint="eastAsia"/>
          <w:sz w:val="28"/>
          <w:szCs w:val="28"/>
        </w:rPr>
        <w:t>生产和销售</w:t>
      </w:r>
      <w:r>
        <w:rPr>
          <w:sz w:val="28"/>
          <w:szCs w:val="28"/>
        </w:rPr>
        <w:t>的经营范围；</w:t>
      </w:r>
    </w:p>
    <w:p w14:paraId="5C248DF0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2.3具有良好的社会信誉。未列入“信用中国”网站（www.creditchina.gov.cn）失信被执行人名单，重大税收违法案件当事人名单和中国政府采购网（www.ccgp.gov.cn）的政府采购严重违法失信行为记录名单的供应商。</w:t>
      </w:r>
    </w:p>
    <w:p w14:paraId="57E9D18D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2.4为本项目提供整体设计、规范编制或者项目管理、监理、检测等服务的供应商不得参加该</w:t>
      </w:r>
      <w:r>
        <w:rPr>
          <w:rFonts w:hint="eastAsia"/>
          <w:sz w:val="28"/>
          <w:szCs w:val="28"/>
        </w:rPr>
        <w:t>标段</w:t>
      </w:r>
      <w:r>
        <w:rPr>
          <w:sz w:val="28"/>
          <w:szCs w:val="28"/>
        </w:rPr>
        <w:t>的投标。</w:t>
      </w:r>
    </w:p>
    <w:p w14:paraId="396B37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三、响应文件提交</w:t>
      </w:r>
    </w:p>
    <w:p w14:paraId="090DBDA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3.1格式要求：以下列顺序准备响应文件：</w:t>
      </w:r>
      <w:r>
        <w:rPr>
          <w:sz w:val="28"/>
          <w:szCs w:val="28"/>
        </w:rPr>
        <w:t>1、营业执照副本复印件；2、对公账户复印件；3、申请人身份证复印件；4、服务承诺书；5、询件单（清单见《项目改造清单》），有最终报价。</w:t>
      </w:r>
    </w:p>
    <w:p w14:paraId="760AEC2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3.2截止时间：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年7月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日17:00（北京时间）</w:t>
      </w:r>
    </w:p>
    <w:p w14:paraId="5A189CA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3.3递交方式：现场</w:t>
      </w:r>
    </w:p>
    <w:p w14:paraId="0E71705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3.4递交地址及收取人：江苏省淮安市枚乘东路</w:t>
      </w:r>
      <w:r>
        <w:rPr>
          <w:sz w:val="28"/>
          <w:szCs w:val="28"/>
        </w:rPr>
        <w:t>4号江苏食品药品职业技术学院</w:t>
      </w:r>
      <w:r>
        <w:rPr>
          <w:rFonts w:hint="eastAsia"/>
          <w:sz w:val="28"/>
          <w:szCs w:val="28"/>
          <w:lang w:val="en-US" w:eastAsia="zh-CN"/>
        </w:rPr>
        <w:t>行政北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lang w:val="en-US" w:eastAsia="zh-CN"/>
        </w:rPr>
        <w:t>C331佟利军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3626164351</w:t>
      </w:r>
      <w:r>
        <w:rPr>
          <w:rFonts w:hint="eastAsia"/>
          <w:sz w:val="28"/>
          <w:szCs w:val="28"/>
        </w:rPr>
        <w:t>。</w:t>
      </w:r>
    </w:p>
    <w:p w14:paraId="149008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四、响应文件开启时间</w:t>
      </w:r>
    </w:p>
    <w:p w14:paraId="74D5C52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4.1时间：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年7月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22</w:t>
      </w:r>
      <w:bookmarkStart w:id="0" w:name="_GoBack"/>
      <w:bookmarkEnd w:id="0"/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日下午14：00（</w:t>
      </w:r>
      <w:r>
        <w:rPr>
          <w:sz w:val="28"/>
          <w:szCs w:val="28"/>
        </w:rPr>
        <w:t>北京时间）</w:t>
      </w:r>
    </w:p>
    <w:p w14:paraId="1E19FB2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4.2地点：江苏省淮安市枚乘东路</w:t>
      </w:r>
      <w:r>
        <w:rPr>
          <w:sz w:val="28"/>
          <w:szCs w:val="28"/>
        </w:rPr>
        <w:t>4号江苏食品药品职业技术学院</w:t>
      </w:r>
      <w:r>
        <w:rPr>
          <w:rFonts w:hint="eastAsia"/>
          <w:sz w:val="28"/>
          <w:szCs w:val="28"/>
          <w:lang w:val="en-US" w:eastAsia="zh-CN"/>
        </w:rPr>
        <w:t>行政北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lang w:val="en-US" w:eastAsia="zh-CN"/>
        </w:rPr>
        <w:t>C331</w:t>
      </w:r>
      <w:r>
        <w:rPr>
          <w:sz w:val="28"/>
          <w:szCs w:val="28"/>
        </w:rPr>
        <w:t>。</w:t>
      </w:r>
    </w:p>
    <w:p w14:paraId="4BDC25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五、公告期限</w:t>
      </w:r>
    </w:p>
    <w:p w14:paraId="2E0E451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</w:t>
      </w:r>
      <w:r>
        <w:rPr>
          <w:sz w:val="28"/>
          <w:szCs w:val="28"/>
        </w:rPr>
        <w:t>3个工作日。</w:t>
      </w:r>
    </w:p>
    <w:p w14:paraId="2B3EA8C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六、其他补充事宜</w:t>
      </w:r>
    </w:p>
    <w:p w14:paraId="0DEC56B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0694C1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七、对本次采购提出询问，请按以下方式联系</w:t>
      </w:r>
    </w:p>
    <w:p w14:paraId="521B3C6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7.1采购人名称：江苏食品药品职业技术学院</w:t>
      </w:r>
    </w:p>
    <w:p w14:paraId="290F411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7.2地址：淮安市清江浦区高教园区枚乘路</w:t>
      </w:r>
      <w:r>
        <w:rPr>
          <w:sz w:val="28"/>
          <w:szCs w:val="28"/>
        </w:rPr>
        <w:t>4号</w:t>
      </w:r>
    </w:p>
    <w:p w14:paraId="51525A84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7.3项目联系人：</w:t>
      </w:r>
      <w:r>
        <w:rPr>
          <w:rFonts w:hint="eastAsia"/>
          <w:sz w:val="28"/>
          <w:szCs w:val="28"/>
          <w:lang w:val="en-US" w:eastAsia="zh-CN"/>
        </w:rPr>
        <w:t>佟利军</w:t>
      </w:r>
      <w:r>
        <w:rPr>
          <w:rFonts w:hint="eastAsia"/>
          <w:sz w:val="28"/>
          <w:szCs w:val="28"/>
        </w:rPr>
        <w:t xml:space="preserve">  联系方式：</w:t>
      </w:r>
      <w:r>
        <w:rPr>
          <w:rFonts w:hint="eastAsia"/>
          <w:sz w:val="28"/>
          <w:szCs w:val="28"/>
          <w:lang w:val="en-US" w:eastAsia="zh-CN"/>
        </w:rPr>
        <w:t>13626164351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WNkZDhkZDkwMzIwOWNmOTFjOTM2MmJjOWMzMDMifQ=="/>
  </w:docVars>
  <w:rsids>
    <w:rsidRoot w:val="00790C51"/>
    <w:rsid w:val="00011D60"/>
    <w:rsid w:val="000C292E"/>
    <w:rsid w:val="001517EA"/>
    <w:rsid w:val="004D1D0E"/>
    <w:rsid w:val="00692568"/>
    <w:rsid w:val="00700C24"/>
    <w:rsid w:val="00790C51"/>
    <w:rsid w:val="007F0E91"/>
    <w:rsid w:val="008A12AF"/>
    <w:rsid w:val="00AA3D67"/>
    <w:rsid w:val="00B07F98"/>
    <w:rsid w:val="00CC20CB"/>
    <w:rsid w:val="00E22BCB"/>
    <w:rsid w:val="00F82B29"/>
    <w:rsid w:val="00F85ACC"/>
    <w:rsid w:val="04CA4DE0"/>
    <w:rsid w:val="104F137E"/>
    <w:rsid w:val="11991D21"/>
    <w:rsid w:val="2B746E2E"/>
    <w:rsid w:val="2D822B2E"/>
    <w:rsid w:val="2F361A14"/>
    <w:rsid w:val="31263D41"/>
    <w:rsid w:val="3D677A5B"/>
    <w:rsid w:val="41BB472F"/>
    <w:rsid w:val="42434624"/>
    <w:rsid w:val="4AA054C0"/>
    <w:rsid w:val="4D990447"/>
    <w:rsid w:val="4FED0E9F"/>
    <w:rsid w:val="50033943"/>
    <w:rsid w:val="5E5534B4"/>
    <w:rsid w:val="659F1CB4"/>
    <w:rsid w:val="6CF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1022</Characters>
  <Lines>7</Lines>
  <Paragraphs>2</Paragraphs>
  <TotalTime>23</TotalTime>
  <ScaleCrop>false</ScaleCrop>
  <LinksUpToDate>false</LinksUpToDate>
  <CharactersWithSpaces>1044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2024-07-17T03:42:00Z</dcterms:created>
  <dc:creator>Administrator</dc:creator>
  <cp:lastModifiedBy>刘岳</cp:lastModifiedBy>
  <dcterms:modified xsi:type="dcterms:W3CDTF">2025-07-16T07:22:40Z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64BD15E7E34A44AB8D54D3CB15F255AB_13</vt:lpwstr>
  </property>
  <property fmtid="{D5CDD505-2E9C-101B-9397-08002B2CF9AE}" pid="4" name="KSOTemplateDocerSaveRecord">
    <vt:lpwstr>eyJoZGlkIjoiODFlODRkY2Q4ZDRiYzZhNzZhODU5MDhjNWI2MzJiMzQiLCJ1c2VySWQiOiIxNjY2NDg1OTAyIn0=</vt:lpwstr>
  </property>
</Properties>
</file>